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Safeguarding and Child Protection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Designated Safeguarding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set out Koala Klubs' commitment to safeguarding and promoting the welfare of every child and young person in our care.</w:t>
      </w:r>
    </w:p>
    <w:p>
      <w:pPr>
        <w:pStyle w:val="Heading1"/>
      </w:pPr>
      <w:r>
        <w:t>Scope</w:t>
      </w:r>
    </w:p>
    <w:p>
      <w:r>
        <w:t>All Koala Klubs holiday club provision, venues, trips, transport, online communication connected to delivery, and all children attending.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The welfare of the child is paramount.</w:t>
      </w:r>
    </w:p>
    <w:p>
      <w:pPr>
        <w:pStyle w:val="ListBullet"/>
        <w:spacing w:after="40"/>
      </w:pPr>
      <w:r>
        <w:t>All children have an equal right to protection from harm, regardless of age, disability, gender, race, religion, sexual orientation, or family circumstances.</w:t>
      </w:r>
    </w:p>
    <w:p>
      <w:pPr>
        <w:pStyle w:val="ListBullet"/>
        <w:spacing w:after="40"/>
      </w:pPr>
      <w:r>
        <w:t>Safeguarding is everyone's responsibility.</w:t>
      </w:r>
    </w:p>
    <w:p>
      <w:pPr>
        <w:pStyle w:val="ListBullet"/>
        <w:spacing w:after="40"/>
      </w:pPr>
      <w:r>
        <w:t>All concerns must be taken seriously, recorded promptly, and passed to the DSL or deputy DSL without delay.</w:t>
      </w:r>
    </w:p>
    <w:p>
      <w:pPr>
        <w:pStyle w:val="ListBullet"/>
        <w:spacing w:after="40"/>
      </w:pPr>
      <w:r>
        <w:t>Koala Klubs operates a child-centred approach and listens to the voice of the child.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Appoint a trained DSL and deputy DSL and make contact details available at each venue.</w:t>
      </w:r>
    </w:p>
    <w:p>
      <w:pPr>
        <w:pStyle w:val="ListBullet"/>
        <w:spacing w:after="40"/>
      </w:pPr>
      <w:r>
        <w:t>Provide safeguarding induction and regular refresher training for staff, volunteers, and sessional workers.</w:t>
      </w:r>
    </w:p>
    <w:p>
      <w:pPr>
        <w:pStyle w:val="ListBullet"/>
        <w:spacing w:after="40"/>
      </w:pPr>
      <w:r>
        <w:t>Follow safer recruitment and clear reporting pathways for concerns about children, adults, and unsafe practice.</w:t>
      </w:r>
    </w:p>
    <w:p>
      <w:pPr>
        <w:pStyle w:val="ListBullet"/>
        <w:spacing w:after="40"/>
      </w:pPr>
      <w:r>
        <w:t>Work with local safeguarding partners, children's social care, police, schools, and other agencies where appropriate.</w:t>
      </w:r>
    </w:p>
    <w:p>
      <w:pPr>
        <w:pStyle w:val="ListBullet"/>
        <w:spacing w:after="40"/>
      </w:pPr>
      <w:r>
        <w:t>Maintain secure, factual safeguarding records and share information on a need-to-know basis when a child's safety requires it.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If a concern is identified, disclosed, witnessed, or suspected, the staff member must reassure the child, avoid promising confidentiality, and record facts immediately.</w:t>
      </w:r>
    </w:p>
    <w:p>
      <w:pPr>
        <w:pStyle w:val="ListBullet"/>
        <w:spacing w:after="40"/>
      </w:pPr>
      <w:r>
        <w:t>The concern must be reported to the DSL or deputy DSL on the same day.</w:t>
      </w:r>
    </w:p>
    <w:p>
      <w:pPr>
        <w:pStyle w:val="ListBullet"/>
        <w:spacing w:after="40"/>
      </w:pPr>
      <w:r>
        <w:t>The DSL decides next steps, including early help, parent contact where appropriate, referral to children's social care, police, the LADO, or emergency action.</w:t>
      </w:r>
    </w:p>
    <w:p>
      <w:pPr>
        <w:pStyle w:val="ListBullet"/>
        <w:spacing w:after="40"/>
      </w:pPr>
      <w:r>
        <w:t>All decisions, actions taken, and rationale must be recorded promptly and stored securely.</w:t>
      </w:r>
    </w:p>
    <w:p>
      <w:pPr>
        <w:pStyle w:val="ListBullet"/>
        <w:spacing w:after="40"/>
      </w:pPr>
      <w:r>
        <w:t>Any allegation that an adult may have harmed a child, committed an offence, posed a risk, or shown unsuitability to work with children must be escalated immediately to the senior lead and referred appropriately.</w:t>
      </w:r>
    </w:p>
    <w:p>
      <w:pPr>
        <w:pStyle w:val="Heading1"/>
      </w:pPr>
      <w:r>
        <w:t>Abuse and harm indicators staff must understand</w:t>
      </w:r>
    </w:p>
    <w:p>
      <w:pPr>
        <w:pStyle w:val="ListBullet"/>
        <w:spacing w:after="40"/>
      </w:pPr>
      <w:r>
        <w:t>Physical abuse, emotional abuse, sexual abuse, and neglect</w:t>
      </w:r>
    </w:p>
    <w:p>
      <w:pPr>
        <w:pStyle w:val="ListBullet"/>
        <w:spacing w:after="40"/>
      </w:pPr>
      <w:r>
        <w:t>Child-on-child abuse, bullying, and prejudice-based incidents</w:t>
      </w:r>
    </w:p>
    <w:p>
      <w:pPr>
        <w:pStyle w:val="ListBullet"/>
        <w:spacing w:after="40"/>
      </w:pPr>
      <w:r>
        <w:t>Online abuse, domestic abuse, exploitation, serious violence, and county lines</w:t>
      </w:r>
    </w:p>
    <w:p>
      <w:pPr>
        <w:pStyle w:val="ListBullet"/>
        <w:spacing w:after="40"/>
      </w:pPr>
      <w:r>
        <w:t>Radicalisation, FGM, forced marriage, honour-based abuse, and missing child concerns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Safeguarding and Child Protection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